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6C" w:rsidRPr="00AF4D6C" w:rsidRDefault="00AF4D6C" w:rsidP="00AF4D6C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I. Сведения о деятельности муниципального бюджетного учреждения образования</w:t>
      </w:r>
    </w:p>
    <w:p w:rsidR="00AF4D6C" w:rsidRPr="00AF4D6C" w:rsidRDefault="00AF4D6C" w:rsidP="00AF4D6C">
      <w:pPr>
        <w:shd w:val="clear" w:color="auto" w:fill="FFFFFF"/>
        <w:spacing w:before="283" w:after="0" w:line="274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1.1.</w:t>
      </w:r>
      <w:r w:rsidRPr="00AF4D6C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 </w:t>
      </w:r>
      <w:r w:rsidRPr="00AF4D6C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Цели деятельности муниципального бюджетного учреждения образования:</w:t>
      </w:r>
    </w:p>
    <w:p w:rsidR="00AF4D6C" w:rsidRPr="00AF4D6C" w:rsidRDefault="00AF4D6C" w:rsidP="00AF4D6C">
      <w:pPr>
        <w:shd w:val="clear" w:color="auto" w:fill="FFFFFF"/>
        <w:spacing w:before="5" w:after="96" w:line="274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Основная цель деятельности Учреждения является осуществление образовательного процесса путем обеспечения преемственности между дошкольным и начальным общим образованием, оптимальных условий для охраны и укрепления здоровья, физического и психического развития воспитанников.</w:t>
      </w:r>
    </w:p>
    <w:p w:rsidR="00AF4D6C" w:rsidRPr="00AF4D6C" w:rsidRDefault="00AF4D6C" w:rsidP="00AF4D6C">
      <w:pPr>
        <w:shd w:val="clear" w:color="auto" w:fill="FFFFFF"/>
        <w:spacing w:before="10" w:after="0" w:line="274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1.2.</w:t>
      </w:r>
      <w:r w:rsidRPr="00AF4D6C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 </w:t>
      </w:r>
      <w:r w:rsidRPr="00AF4D6C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Виды деятельности муниципального бюджетного учреждения образования:</w:t>
      </w:r>
    </w:p>
    <w:p w:rsidR="00AF4D6C" w:rsidRPr="00AF4D6C" w:rsidRDefault="00AF4D6C" w:rsidP="00AF4D6C">
      <w:pPr>
        <w:shd w:val="clear" w:color="auto" w:fill="FFFFFF"/>
        <w:spacing w:before="5" w:after="96" w:line="274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Для достижения поставленной цели Учреждение осуществляет основной вид деятельности - дошкольное образование.</w:t>
      </w:r>
    </w:p>
    <w:p w:rsidR="00AF4D6C" w:rsidRPr="00AF4D6C" w:rsidRDefault="00AF4D6C" w:rsidP="00AF4D6C">
      <w:pPr>
        <w:shd w:val="clear" w:color="auto" w:fill="FFFFFF"/>
        <w:spacing w:before="24" w:after="0" w:line="269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1.3.</w:t>
      </w:r>
      <w:r w:rsidRPr="00AF4D6C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 </w:t>
      </w:r>
      <w:r w:rsidRPr="00AF4D6C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Перечень услуг (работ), осуществляемых на платной основе:</w:t>
      </w:r>
    </w:p>
    <w:p w:rsidR="00AF4D6C" w:rsidRPr="00AF4D6C" w:rsidRDefault="00AF4D6C" w:rsidP="00AF4D6C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 платным услугам, предоставляемым Учреждением, относятся:</w:t>
      </w:r>
      <w:bookmarkStart w:id="0" w:name="_GoBack"/>
      <w:bookmarkEnd w:id="0"/>
    </w:p>
    <w:p w:rsidR="00AF4D6C" w:rsidRPr="00AF4D6C" w:rsidRDefault="00AF4D6C" w:rsidP="00AF4D6C">
      <w:pPr>
        <w:shd w:val="clear" w:color="auto" w:fill="FFFFFF"/>
        <w:spacing w:after="96" w:line="269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</w:t>
      </w:r>
      <w:r w:rsidRPr="00AF4D6C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</w:t>
      </w: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танцевальная студия,</w:t>
      </w:r>
    </w:p>
    <w:p w:rsidR="00AF4D6C" w:rsidRPr="00AF4D6C" w:rsidRDefault="00AF4D6C" w:rsidP="00AF4D6C">
      <w:pPr>
        <w:shd w:val="clear" w:color="auto" w:fill="FFFFFF"/>
        <w:spacing w:before="5" w:after="0" w:line="269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</w:t>
      </w:r>
      <w:r w:rsidRPr="00AF4D6C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</w:t>
      </w: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изучение иностранного языка,</w:t>
      </w:r>
    </w:p>
    <w:p w:rsidR="00AF4D6C" w:rsidRPr="00AF4D6C" w:rsidRDefault="00AF4D6C" w:rsidP="00AF4D6C">
      <w:pPr>
        <w:shd w:val="clear" w:color="auto" w:fill="FFFFFF"/>
        <w:spacing w:after="96" w:line="269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</w:t>
      </w:r>
      <w:r w:rsidRPr="00AF4D6C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</w:t>
      </w: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группа выходного дня,</w:t>
      </w:r>
    </w:p>
    <w:p w:rsidR="00AF4D6C" w:rsidRPr="00AF4D6C" w:rsidRDefault="00AF4D6C" w:rsidP="00AF4D6C">
      <w:pPr>
        <w:shd w:val="clear" w:color="auto" w:fill="FFFFFF"/>
        <w:spacing w:after="96" w:line="269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</w:t>
      </w:r>
      <w:r w:rsidRPr="00AF4D6C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</w:t>
      </w: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проведение практических семинаров для родителей и педагогов,</w:t>
      </w:r>
    </w:p>
    <w:p w:rsidR="00AF4D6C" w:rsidRPr="00AF4D6C" w:rsidRDefault="00AF4D6C" w:rsidP="00AF4D6C">
      <w:pPr>
        <w:shd w:val="clear" w:color="auto" w:fill="FFFFFF"/>
        <w:spacing w:after="96" w:line="269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</w:t>
      </w:r>
      <w:r w:rsidRPr="00AF4D6C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</w:t>
      </w: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профилактический массаж для детей,</w:t>
      </w:r>
    </w:p>
    <w:p w:rsidR="00AF4D6C" w:rsidRPr="00AF4D6C" w:rsidRDefault="00AF4D6C" w:rsidP="00AF4D6C">
      <w:pPr>
        <w:shd w:val="clear" w:color="auto" w:fill="FFFFFF"/>
        <w:spacing w:after="96" w:line="269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</w:t>
      </w:r>
      <w:r w:rsidRPr="00AF4D6C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</w:t>
      </w: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проведение детских праздников.</w:t>
      </w:r>
    </w:p>
    <w:p w:rsidR="00AF4D6C" w:rsidRPr="00AF4D6C" w:rsidRDefault="00AF4D6C" w:rsidP="00AF4D6C">
      <w:pPr>
        <w:shd w:val="clear" w:color="auto" w:fill="FFFFFF"/>
        <w:spacing w:after="96" w:line="269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AF4D6C" w:rsidRPr="00AF4D6C" w:rsidRDefault="00AF4D6C" w:rsidP="00AF4D6C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-</w:t>
      </w:r>
      <w:r w:rsidRPr="00AF4D6C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</w:t>
      </w:r>
      <w:r w:rsidRPr="00AF4D6C">
        <w:rPr>
          <w:rFonts w:ascii="Arial" w:eastAsia="Times New Roman" w:hAnsi="Arial" w:cs="Arial"/>
          <w:color w:val="1F282C"/>
          <w:sz w:val="20"/>
          <w:szCs w:val="20"/>
          <w:u w:val="single"/>
          <w:lang w:eastAsia="ru-RU"/>
        </w:rPr>
        <w:t>11. Показатели финансового состояния муниципального учреждения</w:t>
      </w:r>
    </w:p>
    <w:p w:rsidR="00AF4D6C" w:rsidRPr="00AF4D6C" w:rsidRDefault="00AF4D6C" w:rsidP="00AF4D6C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tbl>
      <w:tblPr>
        <w:tblW w:w="9164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  <w:gridCol w:w="3154"/>
      </w:tblGrid>
      <w:tr w:rsidR="00AF4D6C" w:rsidRPr="00AF4D6C" w:rsidTr="00AF4D6C">
        <w:tc>
          <w:tcPr>
            <w:tcW w:w="7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ind w:left="229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ind w:left="1368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Сумма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I. Нефинансовые активы, всего: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right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17 597 546,94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из них: •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4D6C" w:rsidRPr="00AF4D6C" w:rsidRDefault="00AF4D6C" w:rsidP="00AF4D6C">
            <w:pPr>
              <w:spacing w:after="96" w:line="240" w:lineRule="auto"/>
              <w:jc w:val="right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16 871 973,00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ind w:left="408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4D6C" w:rsidRPr="00AF4D6C" w:rsidRDefault="00AF4D6C" w:rsidP="00AF4D6C">
            <w:pPr>
              <w:spacing w:after="96" w:line="269" w:lineRule="atLeast"/>
              <w:ind w:firstLine="62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1.1.1. Стоимость имущества, закрепленного собственником имущества за муниципальным бюджетным </w:t>
            </w:r>
            <w:proofErr w:type="spellStart"/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учрежденем</w:t>
            </w:r>
            <w:proofErr w:type="spellEnd"/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образования на праве оперативного управления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4D6C" w:rsidRPr="00AF4D6C" w:rsidRDefault="00AF4D6C" w:rsidP="00AF4D6C">
            <w:pPr>
              <w:spacing w:after="96" w:line="240" w:lineRule="auto"/>
              <w:jc w:val="right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16 871 973,00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69" w:lineRule="atLeast"/>
              <w:ind w:firstLine="58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1.1.2. Стоимость имущества, приобретенного муниципальным бюджетным </w:t>
            </w:r>
            <w:proofErr w:type="spellStart"/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учрежденем</w:t>
            </w:r>
            <w:proofErr w:type="spellEnd"/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образования, за счет выделенных собственником имущества учреждения средств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69" w:lineRule="atLeast"/>
              <w:ind w:right="106" w:firstLine="53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1.1.3. Стоимость имущества, приобретенного муниципальным бюджетным </w:t>
            </w:r>
            <w:proofErr w:type="spellStart"/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учрежденем</w:t>
            </w:r>
            <w:proofErr w:type="spellEnd"/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образования за счет доходов, полученных от платной и иной приносящей доход деятельности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right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10 320 294,90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4D6C" w:rsidRPr="00AF4D6C" w:rsidRDefault="00AF4D6C" w:rsidP="00AF4D6C">
            <w:pPr>
              <w:spacing w:after="96" w:line="269" w:lineRule="atLeast"/>
              <w:ind w:right="163" w:firstLine="43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4D6C" w:rsidRPr="00AF4D6C" w:rsidRDefault="00AF4D6C" w:rsidP="00AF4D6C">
            <w:pPr>
              <w:spacing w:after="96" w:line="240" w:lineRule="auto"/>
              <w:jc w:val="right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725 573,94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ind w:left="389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right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238 629,60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II. Финансовые активы, всего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right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40 093,68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74" w:lineRule="atLeast"/>
              <w:ind w:right="245" w:firstLine="1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2.1. Дебиторская задолженность по доходам, полученным за счет средств бюджета Ставропольского края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4D6C" w:rsidRPr="00AF4D6C" w:rsidRDefault="00AF4D6C" w:rsidP="00AF4D6C">
            <w:pPr>
              <w:spacing w:after="96" w:line="274" w:lineRule="atLeast"/>
              <w:ind w:right="19" w:firstLine="5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2.2. Дебиторская задолженность по выданным авансам, полученным за счет средств бюджета Ставропольского края всего: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4D6C" w:rsidRPr="00AF4D6C" w:rsidRDefault="00AF4D6C" w:rsidP="00AF4D6C">
            <w:pPr>
              <w:spacing w:after="96" w:line="240" w:lineRule="auto"/>
              <w:jc w:val="right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23 235,88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ind w:left="37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right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294,00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right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22 941,88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2.2.1.0. по выданным авансам на прочие расходы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4D6C" w:rsidRPr="00AF4D6C" w:rsidRDefault="00AF4D6C" w:rsidP="00AF4D6C">
            <w:pPr>
              <w:spacing w:after="96" w:line="269" w:lineRule="atLeast"/>
              <w:ind w:left="24" w:hanging="24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4D6C" w:rsidRPr="00AF4D6C" w:rsidRDefault="00AF4D6C" w:rsidP="00AF4D6C">
            <w:pPr>
              <w:spacing w:after="96" w:line="240" w:lineRule="auto"/>
              <w:jc w:val="right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16 857,80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ind w:left="341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ind w:left="2462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16 857,80</w:t>
            </w:r>
          </w:p>
        </w:tc>
      </w:tr>
      <w:tr w:rsidR="00AF4D6C" w:rsidRPr="00AF4D6C" w:rsidTr="00AF4D6C">
        <w:tc>
          <w:tcPr>
            <w:tcW w:w="7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D6C" w:rsidRPr="00AF4D6C" w:rsidRDefault="00AF4D6C" w:rsidP="00AF4D6C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AF4D6C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</w:tbl>
    <w:p w:rsidR="00AF4D6C" w:rsidRPr="00AF4D6C" w:rsidRDefault="00AF4D6C" w:rsidP="00AF4D6C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AF4D6C" w:rsidRPr="00AF4D6C" w:rsidRDefault="00AF4D6C" w:rsidP="00AF4D6C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AF4D6C" w:rsidRPr="00AF4D6C" w:rsidRDefault="00AF4D6C" w:rsidP="00AF4D6C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AF4D6C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 2013-2014 учебном году МДОУ ДС № 21 г. Буденновска платных образовательных услуг не оказывает</w:t>
      </w:r>
    </w:p>
    <w:p w:rsidR="00AF5398" w:rsidRDefault="00AF5398"/>
    <w:sectPr w:rsidR="00AF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6C"/>
    <w:rsid w:val="00AF4D6C"/>
    <w:rsid w:val="00A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BEB2-F454-4E67-B9C0-FF01E528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AF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AF4D6C"/>
  </w:style>
  <w:style w:type="paragraph" w:customStyle="1" w:styleId="style4">
    <w:name w:val="style4"/>
    <w:basedOn w:val="a"/>
    <w:rsid w:val="00AF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F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AF4D6C"/>
  </w:style>
  <w:style w:type="paragraph" w:customStyle="1" w:styleId="style2">
    <w:name w:val="style2"/>
    <w:basedOn w:val="a"/>
    <w:rsid w:val="00AF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F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F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AF4D6C"/>
  </w:style>
  <w:style w:type="paragraph" w:styleId="a3">
    <w:name w:val="Normal (Web)"/>
    <w:basedOn w:val="a"/>
    <w:uiPriority w:val="99"/>
    <w:semiHidden/>
    <w:unhideWhenUsed/>
    <w:rsid w:val="00AF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F4D6C"/>
  </w:style>
  <w:style w:type="paragraph" w:customStyle="1" w:styleId="style3">
    <w:name w:val="style3"/>
    <w:basedOn w:val="a"/>
    <w:rsid w:val="00AF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2018-12-01T21:08:00Z</dcterms:created>
  <dcterms:modified xsi:type="dcterms:W3CDTF">2018-12-01T21:14:00Z</dcterms:modified>
</cp:coreProperties>
</file>